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sz w:val="36"/>
          <w:szCs w:val="36"/>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selection stage of the procurement]</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supplement Joint Schedule 1 (Definitions) shall apply:</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405.0" w:type="dxa"/>
        <w:jc w:val="left"/>
        <w:tblInd w:w="44.999999999999986"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65"/>
        <w:gridCol w:w="6240"/>
        <w:tblGridChange w:id="0">
          <w:tblGrid>
            <w:gridCol w:w="3165"/>
            <w:gridCol w:w="6240"/>
          </w:tblGrid>
        </w:tblGridChange>
      </w:tblGrid>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“Accounting Reference Date”</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year the date to which the Supplier prepares its annual audited financial statement;</w:t>
            </w:r>
          </w:p>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100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board of directors;</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100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written confirmation from the Board in accordance with Paragraph 8 of this Schedule;</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100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“Bronze Contract”</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100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categorised as a Bronze contract using the Cabinet Office Contract Tiering Tool;</w:t>
            </w:r>
          </w:p>
        </w:tc>
      </w:tr>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and Suppliers Team”</w:t>
            </w:r>
          </w:p>
        </w:tc>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entities specified at Paragraph 5.2 of this Schedule;</w:t>
            </w:r>
          </w:p>
        </w:tc>
      </w:tr>
      <w:tr>
        <w:trPr>
          <w:cantSplit w:val="0"/>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suppliers to government listed at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bl>
    <w:p w:rsidR="00000000" w:rsidDel="00000000" w:rsidP="00000000" w:rsidRDefault="00000000" w:rsidRPr="00000000" w14:paraId="0000002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40"/>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of the following shall be Financial Distress Events:</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4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or</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written notice to:</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5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60">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highlight w:val="yellow"/>
          <w:u w:val="single"/>
          <w:rtl w:val="0"/>
        </w:rPr>
        <w:t xml:space="preserve">Guidance for Gold or Silver Contract Only</w:t>
      </w:r>
      <w:r w:rsidDel="00000000" w:rsidR="00000000" w:rsidRPr="00000000">
        <w:rPr>
          <w:rFonts w:ascii="Arial" w:cs="Arial" w:eastAsia="Arial" w:hAnsi="Arial"/>
          <w:sz w:val="24"/>
          <w:szCs w:val="24"/>
          <w:highlight w:val="yellow"/>
          <w:rtl w:val="0"/>
        </w:rPr>
        <w:t xml:space="preserve">: 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  </w:t>
      </w:r>
      <w:r w:rsidDel="00000000" w:rsidR="00000000" w:rsidRPr="00000000">
        <w:rPr>
          <w:rFonts w:ascii="Arial" w:cs="Arial" w:eastAsia="Arial" w:hAnsi="Arial"/>
          <w:sz w:val="24"/>
          <w:szCs w:val="24"/>
          <w:highlight w:val="yellow"/>
          <w:u w:val="single"/>
          <w:rtl w:val="0"/>
        </w:rPr>
        <w:t xml:space="preserve">This Paragraph 5 does not apply to Bronze Contracts.</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1ci93xb"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[if different from the default position set out in Paragraph 2.3(b)]</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[X%]]</w:t>
            </w:r>
          </w:p>
        </w:tc>
        <w:tc>
          <w:tcPr>
            <w:vAlign w:val="cente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 half yearly]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[120 /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highlight w:val="yellow"/>
                <w:u w:val="none"/>
                <w:vertAlign w:val="baseline"/>
              </w:rPr>
            </w:pPr>
            <w:r w:rsidDel="00000000" w:rsidR="00000000" w:rsidRPr="00000000">
              <w:rPr>
                <w:rFonts w:ascii="Arial" w:cs="Arial" w:eastAsia="Arial" w:hAnsi="Arial"/>
                <w:b w:val="1"/>
                <w:i w:val="0"/>
                <w:smallCaps w:val="0"/>
                <w:strike w:val="0"/>
                <w:color w:val="7030a0"/>
                <w:sz w:val="24"/>
                <w:szCs w:val="24"/>
                <w:highlight w:val="yellow"/>
                <w:u w:val="none"/>
                <w:vertAlign w:val="baseline"/>
                <w:rtl w:val="0"/>
              </w:rPr>
              <w:t xml:space="preserve">[Free Cash Flow to Net Debt Ratio]</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u w:val="none"/>
                <w:shd w:fill="auto" w:val="clear"/>
                <w:vertAlign w:val="baseline"/>
              </w:rPr>
            </w:pPr>
            <w:r w:rsidDel="00000000" w:rsidR="00000000" w:rsidRPr="00000000">
              <w:rPr>
                <w:rFonts w:ascii="Arial" w:cs="Arial" w:eastAsia="Arial" w:hAnsi="Arial"/>
                <w:b w:val="1"/>
                <w:i w:val="0"/>
                <w:smallCaps w:val="0"/>
                <w:strike w:val="0"/>
                <w:color w:val="7030a0"/>
                <w:sz w:val="24"/>
                <w:szCs w:val="24"/>
                <w:u w:val="none"/>
                <w:shd w:fill="auto" w:val="clear"/>
                <w:vertAlign w:val="baseline"/>
                <w:rtl w:val="0"/>
              </w:rPr>
              <w:t xml:space="preserve">OR</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highlight w:val="yellow"/>
                <w:u w:val="none"/>
                <w:vertAlign w:val="baseline"/>
              </w:rPr>
            </w:pP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[Free Cash Flow to Net Debt Ratio = Free Cash Flow / Net Debt]</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u w:val="none"/>
                <w:shd w:fill="auto" w:val="clear"/>
                <w:vertAlign w:val="baseline"/>
              </w:rPr>
            </w:pP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OR</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highlight w:val="yellow"/>
                <w:u w:val="none"/>
                <w:vertAlign w:val="baseline"/>
              </w:rPr>
            </w:pP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[&gt; [X%]]</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[&lt; [X]]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[Free Cash Flow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for the 12 months ending on, and Net Debt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[&lt; [X]]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w:t>
            </w:r>
            <w:r w:rsidDel="00000000" w:rsidR="00000000" w:rsidRPr="00000000">
              <w:rPr>
                <w:rFonts w:ascii="Arial" w:cs="Arial" w:eastAsia="Arial" w:hAnsi="Arial"/>
                <w:b w:val="0"/>
                <w:i w:val="1"/>
                <w:smallCaps w:val="0"/>
                <w:strike w:val="0"/>
                <w:color w:val="f79646"/>
                <w:sz w:val="24"/>
                <w:szCs w:val="24"/>
                <w:u w:val="none"/>
                <w:shd w:fill="auto" w:val="clear"/>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[X]]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times</w:t>
            </w:r>
          </w:p>
        </w:tc>
        <w:tc>
          <w:tcPr>
            <w:vAlign w:val="cente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£0]</w:t>
            </w:r>
            <w:r w:rsidDel="00000000" w:rsidR="00000000" w:rsidRPr="00000000">
              <w:rPr>
                <w:rtl w:val="0"/>
              </w:rPr>
            </w:r>
          </w:p>
        </w:tc>
        <w:tc>
          <w:tcPr>
            <w:vAlign w:val="cente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[&lt; [X]]%</w:t>
            </w:r>
            <w:r w:rsidDel="00000000" w:rsidR="00000000" w:rsidRPr="00000000">
              <w:rPr>
                <w:rtl w:val="0"/>
              </w:rPr>
            </w:r>
          </w:p>
        </w:tc>
        <w:tc>
          <w:tcPr>
            <w:vAlign w:val="cente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8064a2"/>
                <w:sz w:val="24"/>
                <w:szCs w:val="24"/>
                <w:u w:val="none"/>
                <w:shd w:fill="auto" w:val="clear"/>
                <w:vertAlign w:val="baseline"/>
              </w:rPr>
            </w:pPr>
            <w:r w:rsidDel="00000000" w:rsidR="00000000" w:rsidRPr="00000000">
              <w:rPr>
                <w:rFonts w:ascii="Arial" w:cs="Arial" w:eastAsia="Arial" w:hAnsi="Arial"/>
                <w:b w:val="1"/>
                <w:i w:val="0"/>
                <w:smallCaps w:val="0"/>
                <w:strike w:val="0"/>
                <w:color w:val="8064a2"/>
                <w:sz w:val="24"/>
                <w:szCs w:val="24"/>
                <w:u w:val="none"/>
                <w:shd w:fill="auto" w:val="clear"/>
                <w:vertAlign w:val="baseline"/>
                <w:rtl w:val="0"/>
              </w:rPr>
              <w:t xml:space="preserve">Financial Target 8</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8064a2"/>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[etc.]</w:t>
            </w:r>
            <w:r w:rsidDel="00000000" w:rsidR="00000000" w:rsidRPr="00000000">
              <w:rPr>
                <w:rtl w:val="0"/>
              </w:rPr>
            </w:r>
          </w:p>
        </w:tc>
      </w:tr>
    </w:tbl>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B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B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Optional Clauses</w:t>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Buyer’s Call-Off Contract is a Bronze Contract, if specified in the Order Form, the terms at Annex 5 shall apply to the Call-Off Contract in place of the foregoing terms of this Joint Schedule 7.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 = Dunn &amp; Bradstreet]</w:t>
      </w:r>
    </w:p>
    <w:p w:rsidR="00000000" w:rsidDel="00000000" w:rsidP="00000000" w:rsidRDefault="00000000" w:rsidRPr="00000000" w14:paraId="000000B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BE">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bn6wsx"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C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C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C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C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C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C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bookmarkStart w:colFirst="0" w:colLast="0" w:name="_heading=h.qsh70q" w:id="4"/>
      <w:bookmarkEnd w:id="4"/>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Amend this Annex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5"/>
      <w:bookmarkEnd w:id="5"/>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D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D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r w:rsidDel="00000000" w:rsidR="00000000" w:rsidRPr="00000000">
              <w:rPr>
                <w:rtl w:val="0"/>
              </w:rPr>
            </w:r>
          </w:p>
        </w:tc>
        <w:tc>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[Free Cash Flow to Net Debt Ratio]</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Net Cash Flow from Operating Activities – Capital Expenditure</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Purchase of property, plant &amp; equipment + purchase of intangible assets</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This should be stated after deduction of interest and tax paid.</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is negative (i.e. an entity has net cash), the relevant Financial Target Threshold should be treated as having been met.]</w:t>
            </w: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 + Depreciation charge + Amortisation charge</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heading=h.1pxezwc" w:id="6"/>
            <w:bookmarkEnd w:id="6"/>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Retirement Benefit Obligations – Retirement Benefit Assets</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 + Depreciation charge + Amortisation charge</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not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non-designated hedges). Borrowings should also include balances owed to other group members.</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49x2ik5" w:id="7"/>
            <w:bookmarkEnd w:id="7"/>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Interest paid – Interest received</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Interest received and interest paid should be shown on the face of the Cash Flow statement.</w:t>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[Acid Ratio]</w:t>
            </w:r>
            <w:r w:rsidDel="00000000" w:rsidR="00000000" w:rsidRPr="00000000">
              <w:rPr>
                <w:rtl w:val="0"/>
              </w:rPr>
            </w:r>
          </w:p>
        </w:tc>
        <w:tc>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[All elements that are used to calculate the Acid Ratio are available on the face of the Balance Sheet in a standard set of financial statements.]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Asset value]</w:t>
            </w:r>
            <w:r w:rsidDel="00000000" w:rsidR="00000000" w:rsidRPr="00000000">
              <w:rPr>
                <w:rtl w:val="0"/>
              </w:rPr>
            </w:r>
          </w:p>
        </w:tc>
        <w:tc>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Balances owed by Group Undertakings + Contingent liabilities assumed in support of Group Undertakings</w:t>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Fixed Assets + Current Assets</w:t>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w:t>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additional Financial Indicators as necessary]</w:t>
            </w:r>
            <w:r w:rsidDel="00000000" w:rsidR="00000000" w:rsidRPr="00000000">
              <w:rPr>
                <w:rtl w:val="0"/>
              </w:rPr>
            </w:r>
          </w:p>
        </w:tc>
        <w:tc>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singl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[Etc..]</w:t>
            </w:r>
          </w:p>
        </w:tc>
      </w:tr>
    </w:tbl>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p2csry" w:id="8"/>
      <w:bookmarkEnd w:id="8"/>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Difficulties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8">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49">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4A">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4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4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5, the following words shall have the following meanings and they shall supplement Joint Schedule 1 (Definitions):</w:t>
      </w:r>
    </w:p>
    <w:tbl>
      <w:tblPr>
        <w:tblStyle w:val="Table6"/>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r w:rsidDel="00000000" w:rsidR="00000000" w:rsidRPr="00000000">
              <w:rPr>
                <w:rtl w:val="0"/>
              </w:rPr>
            </w:r>
          </w:p>
        </w:tc>
        <w:tc>
          <w:tcPr/>
          <w:p w:rsidR="00000000" w:rsidDel="00000000" w:rsidP="00000000" w:rsidRDefault="00000000" w:rsidRPr="00000000" w14:paraId="0000014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r w:rsidDel="00000000" w:rsidR="00000000" w:rsidRPr="00000000">
              <w:rPr>
                <w:rtl w:val="0"/>
              </w:rPr>
            </w:r>
          </w:p>
        </w:tc>
        <w:tc>
          <w:tcPr/>
          <w:p w:rsidR="00000000" w:rsidDel="00000000" w:rsidP="00000000" w:rsidRDefault="00000000" w:rsidRPr="00000000" w14:paraId="0000015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15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15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5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5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15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5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15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5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15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15A">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15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r w:rsidDel="00000000" w:rsidR="00000000" w:rsidRPr="00000000">
              <w:rPr>
                <w:rtl w:val="0"/>
              </w:rPr>
            </w:r>
          </w:p>
        </w:tc>
        <w:tc>
          <w:tcPr/>
          <w:p w:rsidR="00000000" w:rsidDel="00000000" w:rsidP="00000000" w:rsidRDefault="00000000" w:rsidRPr="00000000" w14:paraId="0000015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r w:rsidDel="00000000" w:rsidR="00000000" w:rsidRPr="00000000">
              <w:rPr>
                <w:rtl w:val="0"/>
              </w:rPr>
            </w:r>
          </w:p>
        </w:tc>
        <w:tc>
          <w:tcPr/>
          <w:p w:rsidR="00000000" w:rsidDel="00000000" w:rsidP="00000000" w:rsidRDefault="00000000" w:rsidRPr="00000000" w14:paraId="0000015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r w:rsidDel="00000000" w:rsidR="00000000" w:rsidRPr="00000000">
              <w:rPr>
                <w:rtl w:val="0"/>
              </w:rPr>
            </w:r>
          </w:p>
        </w:tc>
        <w:tc>
          <w:tcPr/>
          <w:p w:rsidR="00000000" w:rsidDel="00000000" w:rsidP="00000000" w:rsidRDefault="00000000" w:rsidRPr="00000000" w14:paraId="0000016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Appendix 1.</w:t>
            </w:r>
          </w:p>
        </w:tc>
      </w:tr>
    </w:tbl>
    <w:p w:rsidR="00000000" w:rsidDel="00000000" w:rsidP="00000000" w:rsidRDefault="00000000" w:rsidRPr="00000000" w14:paraId="0000016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o7alnk" w:id="10"/>
      <w:bookmarkEnd w:id="1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16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6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Annex 5 shall survive: </w:t>
      </w:r>
    </w:p>
    <w:p w:rsidR="00000000" w:rsidDel="00000000" w:rsidP="00000000" w:rsidRDefault="00000000" w:rsidRPr="00000000" w14:paraId="0000016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6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16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6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6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check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Commercial Finance what provisions to make here – if the quick ratio is not currently used]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6B">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6"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7"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7"/>
        <w:tblW w:w="8536.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9"/>
        <w:gridCol w:w="7577"/>
        <w:tblGridChange w:id="0">
          <w:tblGrid>
            <w:gridCol w:w="959"/>
            <w:gridCol w:w="7577"/>
          </w:tblGrid>
        </w:tblGridChange>
      </w:tblGrid>
      <w:tr>
        <w:trPr>
          <w:cantSplit w:val="0"/>
          <w:tblHeader w:val="0"/>
        </w:trPr>
        <w:tc>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hanging="106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hanging="106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hanging="106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is the value at the relevant date of all account receivables of the Monitored]; and</w:t>
            </w:r>
          </w:p>
        </w:tc>
      </w:tr>
      <w:tr>
        <w:trPr>
          <w:cantSplit w:val="0"/>
          <w:tblHeader w:val="0"/>
        </w:trPr>
        <w:tc>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hanging="106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is the value at the relevant date of the current liabilities of the Monitored Company].</w:t>
            </w:r>
          </w:p>
        </w:tc>
      </w:tr>
    </w:tbl>
    <w:p w:rsidR="00000000" w:rsidDel="00000000" w:rsidP="00000000" w:rsidRDefault="00000000" w:rsidRPr="00000000" w14:paraId="0000017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17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17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7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7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17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10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16"/>
      <w:bookmarkEnd w:id="16"/>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2grqrue"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17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notice in writing to:</w:t>
      </w:r>
    </w:p>
    <w:p w:rsidR="00000000" w:rsidDel="00000000" w:rsidP="00000000" w:rsidRDefault="00000000" w:rsidRPr="00000000" w14:paraId="0000017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17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17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18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8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8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8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the Relevant Authority may reasonably require.</w:t>
      </w:r>
    </w:p>
    <w:p w:rsidR="00000000" w:rsidDel="00000000" w:rsidP="00000000" w:rsidRDefault="00000000" w:rsidRPr="00000000" w14:paraId="0000018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8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8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the Relevant Authority, the Supplier shall:</w:t>
      </w:r>
    </w:p>
    <w:p w:rsidR="00000000" w:rsidDel="00000000" w:rsidP="00000000" w:rsidRDefault="00000000" w:rsidRPr="00000000" w14:paraId="000001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8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18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8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8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8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3.4; </w:t>
      </w:r>
    </w:p>
    <w:p w:rsidR="00000000" w:rsidDel="00000000" w:rsidP="00000000" w:rsidRDefault="00000000" w:rsidRPr="00000000" w14:paraId="000001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9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9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9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2lwamvv" w:id="29"/>
      <w:bookmarkEnd w:id="2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19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9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19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bookmarkStart w:colFirst="0" w:colLast="0" w:name="_heading=h.4i7ojhp" w:id="30"/>
      <w:bookmarkEnd w:id="30"/>
      <w:r w:rsidDel="00000000" w:rsidR="00000000" w:rsidRPr="00000000">
        <w:rPr>
          <w:rtl w:val="0"/>
        </w:rPr>
      </w:r>
    </w:p>
    <w:p w:rsidR="00000000" w:rsidDel="00000000" w:rsidP="00000000" w:rsidRDefault="00000000" w:rsidRPr="00000000" w14:paraId="0000019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31"/>
      <w:bookmarkEnd w:id="31"/>
      <w:r w:rsidDel="00000000" w:rsidR="00000000" w:rsidRPr="00000000">
        <w:br w:type="page"/>
      </w:r>
      <w:r w:rsidDel="00000000" w:rsidR="00000000" w:rsidRPr="00000000">
        <w:rPr>
          <w:rtl w:val="0"/>
        </w:rPr>
      </w:r>
    </w:p>
    <w:p w:rsidR="00000000" w:rsidDel="00000000" w:rsidP="00000000" w:rsidRDefault="00000000" w:rsidRPr="00000000" w14:paraId="0000019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0"/>
          <w:i w:val="0"/>
          <w:smallCaps w:val="1"/>
          <w:strike w:val="0"/>
          <w:color w:val="000000"/>
          <w:sz w:val="36"/>
          <w:szCs w:val="36"/>
          <w:u w:val="none"/>
          <w:shd w:fill="auto" w:val="clear"/>
          <w:vertAlign w:val="baseline"/>
        </w:rPr>
      </w:pPr>
      <w:bookmarkStart w:colFirst="0" w:colLast="0" w:name="_heading=h.3l18frh" w:id="32"/>
      <w:bookmarkEnd w:id="32"/>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1: RATING AGENCIES</w:t>
      </w:r>
      <w:r w:rsidDel="00000000" w:rsidR="00000000" w:rsidRPr="00000000">
        <w:rPr>
          <w:rtl w:val="0"/>
        </w:rPr>
      </w:r>
    </w:p>
    <w:p w:rsidR="00000000" w:rsidDel="00000000" w:rsidP="00000000" w:rsidRDefault="00000000" w:rsidRPr="00000000" w14:paraId="0000019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0"/>
        </w:sdtPr>
        <w:sdtContent>
          <w:commentRangeStart w:id="0"/>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 = Dunn &amp; Bradstreet]</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19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19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206ipza" w:id="33"/>
      <w:bookmarkEnd w:id="33"/>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2: CREDIT RATINGS &amp; CREDIT RATING THRESHOLDS</w:t>
      </w:r>
      <w:r w:rsidDel="00000000" w:rsidR="00000000" w:rsidRPr="00000000">
        <w:rPr>
          <w:rtl w:val="0"/>
        </w:rPr>
      </w:r>
    </w:p>
    <w:p w:rsidR="00000000" w:rsidDel="00000000" w:rsidP="00000000" w:rsidRDefault="00000000" w:rsidRPr="00000000" w14:paraId="0000019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8"/>
        <w:tblW w:w="6168.000000000001"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gridCol w:w="7"/>
        <w:tblGridChange w:id="0">
          <w:tblGrid>
            <w:gridCol w:w="3080"/>
            <w:gridCol w:w="3081"/>
            <w:gridCol w:w="7"/>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9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19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1A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gridSpan w:val="2"/>
            <w:shd w:fill="ffffff" w:val="clear"/>
          </w:tcPr>
          <w:p w:rsidR="00000000" w:rsidDel="00000000" w:rsidP="00000000" w:rsidRDefault="00000000" w:rsidRPr="00000000" w14:paraId="000001A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0"/>
                <w:i w:val="0"/>
                <w:smallCaps w:val="0"/>
                <w:strike w:val="0"/>
                <w:color w:val="000000"/>
                <w:sz w:val="24"/>
                <w:szCs w:val="24"/>
                <w:u w:val="none"/>
                <w:shd w:fill="auto" w:val="clear"/>
                <w:vertAlign w:val="baseline"/>
              </w:rPr>
            </w:pPr>
            <w:sdt>
              <w:sdtPr>
                <w:tag w:val="goog_rdk_1"/>
              </w:sdtPr>
              <w:sdtContent>
                <w:commentRangeStart w:id="1"/>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50</w:t>
            </w:r>
            <w:commentRangeEnd w:id="1"/>
            <w:r w:rsidDel="00000000" w:rsidR="00000000" w:rsidRPr="00000000">
              <w:commentReference w:id="1"/>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1A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gridSpan w:val="2"/>
            <w:shd w:fill="ffffff" w:val="clear"/>
          </w:tcPr>
          <w:p w:rsidR="00000000" w:rsidDel="00000000" w:rsidP="00000000" w:rsidRDefault="00000000" w:rsidRPr="00000000" w14:paraId="000001A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A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A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A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9">
      <w:pPr>
        <w:spacing w:after="200" w:line="276" w:lineRule="auto"/>
        <w:jc w:val="left"/>
        <w:rPr>
          <w:rFonts w:ascii="Arial" w:cs="Arial" w:eastAsia="Arial" w:hAnsi="Arial"/>
          <w:sz w:val="24"/>
          <w:szCs w:val="24"/>
        </w:rPr>
      </w:pPr>
      <w:r w:rsidDel="00000000" w:rsidR="00000000" w:rsidRPr="00000000">
        <w:rPr>
          <w:rtl w:val="0"/>
        </w:rPr>
      </w:r>
    </w:p>
    <w:sectPr>
      <w:headerReference r:id="rId12" w:type="default"/>
      <w:footerReference r:id="rId13" w:type="default"/>
      <w:footerReference r:id="rId14" w:type="first"/>
      <w:pgSz w:h="16838" w:w="11906" w:orient="portrait"/>
      <w:pgMar w:bottom="1440" w:top="1440" w:left="1440" w:right="1440"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Author" w:id="0" w:date="2022-02-15T15:00:00Z">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confirm?</w:t>
      </w:r>
    </w:p>
  </w:comment>
  <w:comment w:author="Author" w:id="1" w:date="2022-02-15T15:00:00Z">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confirm?</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B3" w15:done="0"/>
  <w15:commentEx w15:paraId="000001B4"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w:t>
      <w:tab/>
      <w:t xml:space="preserve">                                           </w:t>
    </w:r>
  </w:p>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v3.5</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0">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2">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w:t>
    </w:r>
    <w:r w:rsidDel="00000000" w:rsidR="00000000" w:rsidRPr="00000000">
      <w:rPr>
        <w:rFonts w:ascii="Arial" w:cs="Arial" w:eastAsia="Arial" w:hAnsi="Arial"/>
        <w:sz w:val="20"/>
        <w:szCs w:val="20"/>
        <w:rtl w:val="0"/>
      </w:rPr>
      <w:t xml:space="preserve">2</w:t>
    </w:r>
  </w:p>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E12774"/>
    <w:pPr>
      <w:keepNext w:val="1"/>
      <w:keepLines w:val="1"/>
      <w:spacing w:after="120" w:before="480"/>
      <w:outlineLvl w:val="0"/>
    </w:pPr>
    <w:rPr>
      <w:b w:val="1"/>
      <w:sz w:val="48"/>
      <w:szCs w:val="48"/>
      <w:lang w:eastAsia="en-GB"/>
    </w:rPr>
  </w:style>
  <w:style w:type="paragraph" w:styleId="Heading2">
    <w:name w:val="heading 2"/>
    <w:basedOn w:val="Normal"/>
    <w:next w:val="Normal"/>
    <w:link w:val="Heading2Char"/>
    <w:rsid w:val="00E12774"/>
    <w:pPr>
      <w:keepNext w:val="1"/>
      <w:keepLines w:val="1"/>
      <w:spacing w:after="80" w:before="360"/>
      <w:outlineLvl w:val="1"/>
    </w:pPr>
    <w:rPr>
      <w:b w:val="1"/>
      <w:sz w:val="36"/>
      <w:szCs w:val="36"/>
      <w:lang w:eastAsia="en-GB"/>
    </w:rPr>
  </w:style>
  <w:style w:type="paragraph" w:styleId="Heading3">
    <w:name w:val="heading 3"/>
    <w:basedOn w:val="Normal"/>
    <w:next w:val="Normal"/>
    <w:link w:val="Heading3Char"/>
    <w:rsid w:val="00E12774"/>
    <w:pPr>
      <w:keepNext w:val="1"/>
      <w:keepLines w:val="1"/>
      <w:spacing w:after="80" w:before="280"/>
      <w:outlineLvl w:val="2"/>
    </w:pPr>
    <w:rPr>
      <w:b w:val="1"/>
      <w:sz w:val="28"/>
      <w:szCs w:val="28"/>
      <w:lang w:eastAsia="en-GB"/>
    </w:rPr>
  </w:style>
  <w:style w:type="paragraph" w:styleId="Heading4">
    <w:name w:val="heading 4"/>
    <w:basedOn w:val="Normal"/>
    <w:next w:val="Normal"/>
    <w:link w:val="Heading4Char"/>
    <w:rsid w:val="00E12774"/>
    <w:pPr>
      <w:keepNext w:val="1"/>
      <w:keepLines w:val="1"/>
      <w:spacing w:after="40" w:before="240"/>
      <w:outlineLvl w:val="3"/>
    </w:pPr>
    <w:rPr>
      <w:b w:val="1"/>
      <w:sz w:val="24"/>
      <w:szCs w:val="24"/>
      <w:lang w:eastAsia="en-GB"/>
    </w:rPr>
  </w:style>
  <w:style w:type="paragraph" w:styleId="Heading5">
    <w:name w:val="heading 5"/>
    <w:basedOn w:val="Normal"/>
    <w:next w:val="Normal"/>
    <w:link w:val="Heading5Char"/>
    <w:rsid w:val="00E12774"/>
    <w:pPr>
      <w:keepNext w:val="1"/>
      <w:keepLines w:val="1"/>
      <w:spacing w:after="40" w:before="220"/>
      <w:outlineLvl w:val="4"/>
    </w:pPr>
    <w:rPr>
      <w:b w:val="1"/>
      <w:lang w:eastAsia="en-GB"/>
    </w:rPr>
  </w:style>
  <w:style w:type="paragraph" w:styleId="Heading6">
    <w:name w:val="heading 6"/>
    <w:basedOn w:val="Normal"/>
    <w:next w:val="Normal"/>
    <w:link w:val="Heading6Char"/>
    <w:rsid w:val="00E12774"/>
    <w:pPr>
      <w:keepNext w:val="1"/>
      <w:keepLines w:val="1"/>
      <w:spacing w:after="40" w:before="200"/>
      <w:outlineLvl w:val="5"/>
    </w:pPr>
    <w:rPr>
      <w:b w:val="1"/>
      <w:sz w:val="20"/>
      <w:szCs w:val="2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E12774"/>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E12774"/>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E12774"/>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E12774"/>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E12774"/>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E12774"/>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7"/>
      </w:numPr>
    </w:pPr>
  </w:style>
  <w:style w:type="numbering" w:styleId="Scheduleheading" w:customStyle="1">
    <w:name w:val="Schedule heading"/>
    <w:uiPriority w:val="99"/>
    <w:rsid w:val="0034142A"/>
    <w:pPr>
      <w:numPr>
        <w:numId w:val="8"/>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E12774"/>
    <w:pPr>
      <w:keepNext w:val="1"/>
      <w:keepLines w:val="1"/>
      <w:spacing w:after="120" w:before="480"/>
    </w:pPr>
    <w:rPr>
      <w:b w:val="1"/>
      <w:sz w:val="72"/>
      <w:szCs w:val="72"/>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E12774"/>
    <w:pPr>
      <w:keepNext w:val="1"/>
      <w:keepLines w:val="1"/>
      <w:spacing w:after="80" w:before="360"/>
    </w:pPr>
    <w:rPr>
      <w:rFonts w:ascii="Georgia" w:cs="Georgia" w:eastAsia="Georgia" w:hAnsi="Georgia"/>
      <w:i w:val="1"/>
      <w:color w:val="666666"/>
      <w:sz w:val="48"/>
      <w:szCs w:val="48"/>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character" w:styleId="FollowedHyperlink">
    <w:name w:val="FollowedHyperlink"/>
    <w:basedOn w:val="DefaultParagraphFont"/>
    <w:uiPriority w:val="99"/>
    <w:semiHidden w:val="1"/>
    <w:unhideWhenUsed w:val="1"/>
    <w:rsid w:val="001A2220"/>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1.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gov.uk/government/publications/strategic-suppliers" TargetMode="External"/><Relationship Id="rId1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lirBHM5aeKC1N98IYWSjZ6LnuQ==">AMUW2mXcYDAcrBkul/vDdrUvoR6Z/v1JM1qIxNO7sT4cRUU0xT3OI270MjJI1ZXBiyCPPIpznPDRa2FwEdWQfK+YNcM8pNp0YsU2lpcf+k0sWVLNmYHVU+JgTI8DuGbhJOhoisZWXj0MVqpLQz15UDBX2D6ZZ+oF7+iWjBmPXf0JkH1zuOhCD4c1i9dTgcIZx9wgE18yeEOXtWGHAEzigwuJCDB/r1w3SAeZItuZyAZ61thX2FGI1F00ouvRyesfvQrY35oKBglvAk71wrOA5jHTgA+sPvQ+K5QR+ekve87aIEHVO2a9BF5EpozYZAgvyvdWYoBYcGWjAS/F3GQ9I/4+aoSwmvqfc8UJdzhK8cjzhYY9zHmBwr8pOgWmvbg0ZdUq0QXYIXqeo7IRLI3AzRkd++Haa3EPrbfqYvFMIquyJTnmtFs6pCeMF2ZvumrO67w51sfuXCfOTxASJruRrCQBSwldB+sGwk2oyFLKOB4w8xKpqa8E+19jsjZjMMTU4bWsp7T8j0Wk1RbRLA1m4Xw6kZrLs1t0IjYkUCd8NmdWmhVx96ak2N3Bx2npoDA0klocYBoe0S4kpY/nkFR9cVjfWGSZiwlYbKidUYnbDuux6sJFTKWiTqwp61crFhD0cC+CdoNiYavb29X4C5p1VoGwifgTBgsuIi3STvKByYTGe0WWc6uLR8/dXLonA4LQ1w1zCkqlHpw90I3IwysbtrjeyEKF71XmNvJYGFXE+t0pmBaGI+XncfQufzF1qawSYZ81CFC8AKD/JrKx5gMBKo4e05BTXPtDDdEecbZrlJl9sswcnJXfYbpBIqiQ/ygzwcZy8TxjbzHXQMd5EGBzE2F0zPjIElTa653pTr1IS3njeI34gXD3AITpBY+O+fDgVcBFw/Cw31BaGTmTACdSCJDsNEQLEZQqEvQQw7h/LJpVs4lsavs/+7tj4eInxcbTa21O7J3eurYG8/rdU454wjFGbJfmltw13mHEsgQpIr4GgY2GQSBExZSmFET8ROoP1k7H78c7Asbthimncx/8eddWuzh0JxGfZG/widrab/GrPyhCXNI9+YUhMSb6ewbF4N1Y0zNP1dk0FA9ayyyv5vJpeA3FE7Ge2We6af7lCuvhTbCniojL1BwYM61fmI/hjJaLf2shc0EycL6EW+P5FXWp9d3/tDECS1JwausO5bnsLRqMZbiXlVWsu6Tg4TeA6fGjdn09h5k7lpgkz8dx+VfRaWWlRJi0dWwDQ67ACS1+YOZa9EQSXdep8boRKPPpX9vtX6XOmWfvLntpYjeyChsTYJrN1wFeqhV8Ozdq7JmOBKzK5TnoWlV+lMcSzf/T9ZYFxV3f1IiEJ2Lg+P904bToeqV5ZhZ7+6MFse4i20Z/5rEsjkVGSwCDUaQgsq4D2vfTLylbiL5dOKJcfWgQdqe1YM5Qu55K0KKySrmQLrfVCDEcZNc1p38bFuloXUfh5N6/AGPl9HgPpE/amujwZ21119ljlX3h4/LVbKtAJqpMCmH5UVeEkiqk6Z67NVZNRAQEBk5j5DkeYcNfsDB0gWrCSuMPNriS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2022-02-15T14:56:00Z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